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96" w:rsidRPr="000D6FFA" w:rsidRDefault="00403E6F">
      <w:pPr>
        <w:rPr>
          <w:lang w:val="es-CO"/>
        </w:rPr>
      </w:pPr>
      <w:r>
        <w:rPr>
          <w:noProof/>
          <w:lang w:val="es-CO" w:eastAsia="es-C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511.5pt;margin-top:270.8pt;width:61.9pt;height:55.15pt;flip:y;z-index:251721728" o:connectortype="straight"/>
        </w:pict>
      </w:r>
      <w:r>
        <w:rPr>
          <w:noProof/>
          <w:lang w:val="es-CO" w:eastAsia="es-CO"/>
        </w:rPr>
        <w:pict>
          <v:shape id="_x0000_s1068" type="#_x0000_t32" style="position:absolute;margin-left:597.4pt;margin-top:325.95pt;width:48.75pt;height:33.75pt;flip:x;z-index:251720704" o:connectortype="straight"/>
        </w:pict>
      </w:r>
      <w:r>
        <w:rPr>
          <w:noProof/>
          <w:lang w:val="es-CO" w:eastAsia="es-CO"/>
        </w:rPr>
        <w:pict>
          <v:shape id="_x0000_s1067" type="#_x0000_t32" style="position:absolute;margin-left:490.9pt;margin-top:270.8pt;width:106.5pt;height:88.9pt;z-index:251719680" o:connectortype="straight"/>
        </w:pict>
      </w:r>
      <w:r>
        <w:rPr>
          <w:noProof/>
          <w:lang w:val="es-CO" w:eastAsia="es-CO"/>
        </w:rPr>
        <w:pict>
          <v:shape id="_x0000_s1066" type="#_x0000_t32" style="position:absolute;margin-left:583.9pt;margin-top:170.7pt;width:51pt;height:39.65pt;z-index:251718656" o:connectortype="straight"/>
        </w:pict>
      </w:r>
      <w:r>
        <w:rPr>
          <w:noProof/>
          <w:lang w:val="es-CO" w:eastAsia="es-CO"/>
        </w:rPr>
        <w:pict>
          <v:shape id="_x0000_s1065" type="#_x0000_t32" style="position:absolute;margin-left:490.9pt;margin-top:170.7pt;width:88.5pt;height:16.5pt;flip:x;z-index:251717632" o:connectortype="straight"/>
        </w:pict>
      </w:r>
      <w:r>
        <w:rPr>
          <w:noProof/>
          <w:lang w:val="es-CO" w:eastAsia="es-CO"/>
        </w:rPr>
        <w:pict>
          <v:shape id="_x0000_s1064" type="#_x0000_t32" style="position:absolute;margin-left:579.4pt;margin-top:83.05pt;width:0;height:14.55pt;z-index:251716608" o:connectortype="straight"/>
        </w:pict>
      </w:r>
      <w:r w:rsidRPr="00E74D91">
        <w:rPr>
          <w:noProof/>
          <w:lang w:val="es-C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573.4pt;margin-top:210.35pt;width:135.65pt;height:115.6pt;z-index:251713536;mso-width-relative:margin;mso-height-relative:margin">
            <v:textbox>
              <w:txbxContent>
                <w:p w:rsidR="00E74D91" w:rsidRDefault="00E74D91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Pedro utiliza diferentes métodos además del económico para controlar sus tierras y obtener más, como el asesinato y la manipulación, lo que es el caso de Toribio.</w:t>
                  </w:r>
                </w:p>
              </w:txbxContent>
            </v:textbox>
          </v:shape>
        </w:pict>
      </w:r>
      <w:r w:rsidRPr="00403E6F">
        <w:rPr>
          <w:noProof/>
          <w:lang w:val="es-CO"/>
        </w:rPr>
        <w:pict>
          <v:shape id="_x0000_s1063" type="#_x0000_t202" style="position:absolute;margin-left:529.55pt;margin-top:359.7pt;width:175.3pt;height:119.25pt;z-index:251715584;mso-width-relative:margin;mso-height-relative:margin">
            <v:textbox>
              <w:txbxContent>
                <w:p w:rsidR="00403E6F" w:rsidRDefault="00403E6F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Dentro de la novela se ve una sociedad </w:t>
                  </w:r>
                  <w:proofErr w:type="spellStart"/>
                  <w:r>
                    <w:rPr>
                      <w:lang w:val="es-ES"/>
                    </w:rPr>
                    <w:t>feudalista</w:t>
                  </w:r>
                  <w:proofErr w:type="spellEnd"/>
                  <w:r>
                    <w:rPr>
                      <w:lang w:val="es-ES"/>
                    </w:rPr>
                    <w:t xml:space="preserve"> controlada por Pedro Paramo, esto implica, según la perspectiva del autor que la única forma para que los personajes obtengan su libertad es mediante la muerte.</w:t>
                  </w:r>
                </w:p>
              </w:txbxContent>
            </v:textbox>
          </v:shape>
        </w:pict>
      </w:r>
      <w:r w:rsidR="00E74D91" w:rsidRPr="00E74D91">
        <w:rPr>
          <w:noProof/>
          <w:lang w:val="es-CO"/>
        </w:rPr>
        <w:pict>
          <v:shape id="_x0000_s1061" type="#_x0000_t202" style="position:absolute;margin-left:413.05pt;margin-top:187.2pt;width:146.1pt;height:83.6pt;z-index:251711488;mso-width-relative:margin;mso-height-relative:margin">
            <v:textbox>
              <w:txbxContent>
                <w:p w:rsidR="00E74D91" w:rsidRDefault="00E74D91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Pedro hereda sus posesiones después del asesinato de su padre lo que le da razón al rencor que tiene Pedro hacia </w:t>
                  </w:r>
                  <w:proofErr w:type="spellStart"/>
                  <w:r>
                    <w:rPr>
                      <w:lang w:val="es-ES"/>
                    </w:rPr>
                    <w:t>Comala</w:t>
                  </w:r>
                  <w:proofErr w:type="spellEnd"/>
                  <w:r>
                    <w:rPr>
                      <w:lang w:val="es-ES"/>
                    </w:rPr>
                    <w:t>.</w:t>
                  </w:r>
                </w:p>
              </w:txbxContent>
            </v:textbox>
          </v:shape>
        </w:pict>
      </w:r>
      <w:r w:rsidR="00CC1E3E" w:rsidRPr="00CC1E3E">
        <w:rPr>
          <w:noProof/>
          <w:lang w:val="es-CO"/>
        </w:rPr>
        <w:pict>
          <v:shape id="_x0000_s1060" type="#_x0000_t202" style="position:absolute;margin-left:455pt;margin-top:97.6pt;width:236.15pt;height:73.1pt;z-index:251709440;mso-width-relative:margin;mso-height-relative:margin">
            <v:textbox>
              <w:txbxContent>
                <w:p w:rsidR="00CC1E3E" w:rsidRDefault="00E74D91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Las posesiones de Pedro Paramo podrían ser fácilmente casi todas las tierras de </w:t>
                  </w:r>
                  <w:proofErr w:type="spellStart"/>
                  <w:r>
                    <w:rPr>
                      <w:lang w:val="es-ES"/>
                    </w:rPr>
                    <w:t>Comala</w:t>
                  </w:r>
                  <w:proofErr w:type="spellEnd"/>
                  <w:r>
                    <w:rPr>
                      <w:lang w:val="es-ES"/>
                    </w:rPr>
                    <w:t xml:space="preserve"> lo que se muestra cuando Abundio le muestra a Juan Preciado la extensión de sus tierras.</w:t>
                  </w:r>
                </w:p>
              </w:txbxContent>
            </v:textbox>
          </v:shape>
        </w:pict>
      </w:r>
      <w:r w:rsidR="00CC1E3E">
        <w:rPr>
          <w:noProof/>
          <w:lang w:val="es-CO" w:eastAsia="es-CO"/>
        </w:rPr>
        <w:pict>
          <v:shape id="_x0000_s1059" type="#_x0000_t32" style="position:absolute;margin-left:325.9pt;margin-top:270.8pt;width:0;height:133.95pt;z-index:251707392" o:connectortype="straight"/>
        </w:pict>
      </w:r>
      <w:r w:rsidR="00CC1E3E">
        <w:rPr>
          <w:noProof/>
          <w:lang w:val="es-CO" w:eastAsia="es-CO"/>
        </w:rPr>
        <w:pict>
          <v:shape id="_x0000_s1058" type="#_x0000_t32" style="position:absolute;margin-left:325.9pt;margin-top:270.8pt;width:111.75pt;height:27.05pt;z-index:251706368" o:connectortype="straight"/>
        </w:pict>
      </w:r>
      <w:r w:rsidR="00CC1E3E">
        <w:rPr>
          <w:noProof/>
          <w:lang w:val="es-CO" w:eastAsia="es-CO"/>
        </w:rPr>
        <w:pict>
          <v:shape id="_x0000_s1057" type="#_x0000_t32" style="position:absolute;margin-left:311.65pt;margin-top:153.45pt;width:0;height:17.25pt;z-index:251705344" o:connectortype="straight"/>
        </w:pict>
      </w:r>
      <w:r w:rsidR="00CC1E3E">
        <w:rPr>
          <w:noProof/>
          <w:lang w:val="es-CO" w:eastAsia="es-CO"/>
        </w:rPr>
        <w:pict>
          <v:shape id="_x0000_s1056" type="#_x0000_t32" style="position:absolute;margin-left:304.15pt;margin-top:86.65pt;width:0;height:14.3pt;z-index:251704320" o:connectortype="straight"/>
        </w:pict>
      </w:r>
      <w:r w:rsidR="00CC1E3E" w:rsidRPr="00CC1E3E">
        <w:rPr>
          <w:noProof/>
          <w:lang w:val="es-CO"/>
        </w:rPr>
        <w:pict>
          <v:shape id="_x0000_s1055" type="#_x0000_t202" style="position:absolute;margin-left:234.35pt;margin-top:404.75pt;width:186.75pt;height:103.45pt;z-index:251703296;mso-width-relative:margin;mso-height-relative:margin">
            <v:textbox>
              <w:txbxContent>
                <w:p w:rsidR="00CC1E3E" w:rsidRDefault="00CC1E3E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Un ejemplo de la oposición que hay entre las relaciones de los personajes es como Eduviges </w:t>
                  </w:r>
                  <w:proofErr w:type="spellStart"/>
                  <w:r>
                    <w:rPr>
                      <w:lang w:val="es-ES"/>
                    </w:rPr>
                    <w:t>Dyada</w:t>
                  </w:r>
                  <w:proofErr w:type="spellEnd"/>
                  <w:r>
                    <w:rPr>
                      <w:lang w:val="es-ES"/>
                    </w:rPr>
                    <w:t xml:space="preserve"> y Justina </w:t>
                  </w:r>
                  <w:proofErr w:type="gramStart"/>
                  <w:r>
                    <w:rPr>
                      <w:lang w:val="es-ES"/>
                    </w:rPr>
                    <w:t>ayudan</w:t>
                  </w:r>
                  <w:proofErr w:type="gramEnd"/>
                  <w:r>
                    <w:rPr>
                      <w:lang w:val="es-ES"/>
                    </w:rPr>
                    <w:t xml:space="preserve"> a Susana, mientras que Fulgor y Gerardo Trujillo son fieles a Pedro paramo.</w:t>
                  </w:r>
                </w:p>
              </w:txbxContent>
            </v:textbox>
          </v:shape>
        </w:pict>
      </w:r>
      <w:r w:rsidR="00280E8F" w:rsidRPr="00280E8F">
        <w:rPr>
          <w:noProof/>
          <w:lang w:val="es-CO"/>
        </w:rPr>
        <w:pict>
          <v:shape id="_x0000_s1054" type="#_x0000_t202" style="position:absolute;margin-left:366.85pt;margin-top:297.85pt;width:144.65pt;height:98.6pt;z-index:251701248;mso-width-relative:margin;mso-height-relative:margin">
            <v:textbox>
              <w:txbxContent>
                <w:p w:rsidR="00280E8F" w:rsidRDefault="00280E8F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El pensamiento ambiguo de Gerardo Trujillo que a pesar de no querer seguir trabajando por cuestiones económicas decide quedarse con </w:t>
                  </w:r>
                  <w:proofErr w:type="spellStart"/>
                  <w:r>
                    <w:rPr>
                      <w:lang w:val="es-ES"/>
                    </w:rPr>
                    <w:t>el</w:t>
                  </w:r>
                  <w:proofErr w:type="spellEnd"/>
                  <w:r>
                    <w:rPr>
                      <w:lang w:val="es-ES"/>
                    </w:rPr>
                    <w:t xml:space="preserve">. </w:t>
                  </w:r>
                </w:p>
              </w:txbxContent>
            </v:textbox>
          </v:shape>
        </w:pict>
      </w:r>
      <w:r w:rsidR="00280E8F" w:rsidRPr="00280E8F">
        <w:rPr>
          <w:noProof/>
          <w:lang w:val="es-CO"/>
        </w:rPr>
        <w:pict>
          <v:shape id="_x0000_s1053" type="#_x0000_t202" style="position:absolute;margin-left:254.1pt;margin-top:170.7pt;width:147.55pt;height:100.1pt;z-index:251699200;mso-width-relative:margin;mso-height-relative:margin">
            <v:textbox>
              <w:txbxContent>
                <w:p w:rsidR="00280E8F" w:rsidRDefault="00280E8F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La oposición se puede apreciar dentro de las relaciones que hay en los personajes y los pensamientos y acciones de los personajes.</w:t>
                  </w:r>
                </w:p>
              </w:txbxContent>
            </v:textbox>
          </v:shape>
        </w:pict>
      </w:r>
      <w:r w:rsidR="005D4362" w:rsidRPr="005D4362">
        <w:rPr>
          <w:noProof/>
          <w:lang w:val="es-CO"/>
        </w:rPr>
        <w:pict>
          <v:shape id="_x0000_s1052" type="#_x0000_t202" style="position:absolute;margin-left:248.75pt;margin-top:100.95pt;width:152.9pt;height:52.5pt;z-index:251697152;mso-width-relative:margin;mso-height-relative:margin">
            <v:textbox>
              <w:txbxContent>
                <w:p w:rsidR="005D4362" w:rsidRDefault="00280E8F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Las oposiciones que se reflejan en los personajes son muy notorias y frecuentes.</w:t>
                  </w:r>
                </w:p>
              </w:txbxContent>
            </v:textbox>
          </v:shape>
        </w:pict>
      </w:r>
      <w:r w:rsidR="005D4362">
        <w:rPr>
          <w:noProof/>
          <w:lang w:val="es-CO" w:eastAsia="es-CO"/>
        </w:rPr>
        <w:pict>
          <v:shape id="_x0000_s1051" type="#_x0000_t32" style="position:absolute;margin-left:304.15pt;margin-top:45.45pt;width:279.75pt;height:16.5pt;z-index:251695104" o:connectortype="straight"/>
        </w:pict>
      </w:r>
      <w:r w:rsidR="005D4362">
        <w:rPr>
          <w:noProof/>
          <w:lang w:val="es-CO" w:eastAsia="es-CO"/>
        </w:rPr>
        <w:pict>
          <v:shape id="_x0000_s1050" type="#_x0000_t32" style="position:absolute;margin-left:67.15pt;margin-top:45.45pt;width:237pt;height:16.5pt;flip:x;z-index:251694080" o:connectortype="straight"/>
        </w:pict>
      </w:r>
      <w:r w:rsidR="005D4362">
        <w:rPr>
          <w:noProof/>
          <w:lang w:val="es-CO" w:eastAsia="es-CO"/>
        </w:rPr>
        <w:pict>
          <v:shape id="_x0000_s1049" type="#_x0000_t32" style="position:absolute;margin-left:304.15pt;margin-top:-23.5pt;width:0;height:16.45pt;z-index:251693056" o:connectortype="straight"/>
        </w:pict>
      </w:r>
      <w:r w:rsidR="005D4362">
        <w:rPr>
          <w:noProof/>
          <w:lang w:val="es-CO" w:eastAsia="es-CO"/>
        </w:rPr>
        <w:pict>
          <v:shape id="_x0000_s1048" type="#_x0000_t32" style="position:absolute;margin-left:304.15pt;margin-top:45.45pt;width:0;height:16.5pt;z-index:251692032" o:connectortype="straight"/>
        </w:pict>
      </w:r>
      <w:r w:rsidR="005D4362">
        <w:rPr>
          <w:noProof/>
          <w:lang w:val="es-CO" w:eastAsia="es-CO"/>
        </w:rPr>
        <w:pict>
          <v:shape id="_x0000_s1047" type="#_x0000_t32" style="position:absolute;margin-left:63.4pt;margin-top:391.95pt;width:0;height:20.65pt;z-index:251691008" o:connectortype="straight"/>
        </w:pict>
      </w:r>
      <w:r w:rsidR="005D4362">
        <w:rPr>
          <w:noProof/>
          <w:lang w:val="es-CO" w:eastAsia="es-CO"/>
        </w:rPr>
        <w:pict>
          <v:shape id="_x0000_s1046" type="#_x0000_t32" style="position:absolute;margin-left:146.9pt;margin-top:255.45pt;width:51.5pt;height:33.85pt;z-index:251689984" o:connectortype="straight"/>
        </w:pict>
      </w:r>
      <w:r w:rsidR="005D4362">
        <w:rPr>
          <w:noProof/>
          <w:lang w:val="es-CO" w:eastAsia="es-CO"/>
        </w:rPr>
        <w:pict>
          <v:shape id="_x0000_s1044" type="#_x0000_t32" style="position:absolute;margin-left:67.15pt;margin-top:255.45pt;width:79.75pt;height:33.4pt;flip:x;z-index:251688960" o:connectortype="straight"/>
        </w:pict>
      </w:r>
      <w:r w:rsidR="005D4362">
        <w:rPr>
          <w:noProof/>
          <w:lang w:val="es-CO" w:eastAsia="es-CO"/>
        </w:rPr>
        <w:pict>
          <v:shape id="_x0000_s1043" type="#_x0000_t32" style="position:absolute;margin-left:146.9pt;margin-top:174.8pt;width:0;height:28.9pt;z-index:251687936" o:connectortype="straight"/>
        </w:pict>
      </w:r>
      <w:r w:rsidR="005D4362">
        <w:rPr>
          <w:noProof/>
          <w:lang w:val="es-CO" w:eastAsia="es-CO"/>
        </w:rPr>
        <w:pict>
          <v:shape id="_x0000_s1042" type="#_x0000_t32" style="position:absolute;margin-left:-25.85pt;margin-top:267.45pt;width:1.5pt;height:145.15pt;flip:x;z-index:251686912" o:connectortype="straight"/>
        </w:pict>
      </w:r>
      <w:r w:rsidR="005D4362">
        <w:rPr>
          <w:noProof/>
          <w:lang w:val="es-CO" w:eastAsia="es-CO"/>
        </w:rPr>
        <w:pict>
          <v:shape id="_x0000_s1041" type="#_x0000_t32" style="position:absolute;margin-left:1.55pt;margin-top:147.4pt;width:0;height:23.3pt;z-index:251685888" o:connectortype="straight"/>
        </w:pict>
      </w:r>
      <w:r w:rsidR="005D4362">
        <w:rPr>
          <w:noProof/>
          <w:lang w:val="es-CO" w:eastAsia="es-CO"/>
        </w:rPr>
        <w:pict>
          <v:shape id="_x0000_s1040" type="#_x0000_t32" style="position:absolute;margin-left:63.4pt;margin-top:83.05pt;width:83.5pt;height:25.4pt;z-index:251684864" o:connectortype="straight"/>
        </w:pict>
      </w:r>
      <w:r w:rsidR="005D4362">
        <w:rPr>
          <w:noProof/>
          <w:lang w:val="es-CO" w:eastAsia="es-CO"/>
        </w:rPr>
        <w:pict>
          <v:shape id="_x0000_s1039" type="#_x0000_t32" style="position:absolute;margin-left:1.55pt;margin-top:83.05pt;width:61.85pt;height:25.4pt;flip:x;z-index:251683840" o:connectortype="straight"/>
        </w:pict>
      </w:r>
      <w:r w:rsidR="005D4362" w:rsidRPr="000A786D">
        <w:rPr>
          <w:noProof/>
          <w:lang w:val="es-CO"/>
        </w:rPr>
        <w:pict>
          <v:shape id="_x0000_s1035" type="#_x0000_t202" style="position:absolute;margin-left:83.45pt;margin-top:203.7pt;width:149.9pt;height:51.75pt;z-index:251676672;mso-width-relative:margin;mso-height-relative:margin">
            <v:textbox>
              <w:txbxContent>
                <w:p w:rsidR="000A786D" w:rsidRDefault="009D7EF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Los narradores dentro de la novela divididos por su relevancia.</w:t>
                  </w:r>
                </w:p>
              </w:txbxContent>
            </v:textbox>
          </v:shape>
        </w:pict>
      </w:r>
      <w:r w:rsidR="005D4362" w:rsidRPr="009D7EFC">
        <w:rPr>
          <w:noProof/>
          <w:lang w:val="es-CO"/>
        </w:rPr>
        <w:pict>
          <v:shape id="_x0000_s1036" type="#_x0000_t202" style="position:absolute;margin-left:146.45pt;margin-top:288.85pt;width:111.35pt;height:95.15pt;z-index:251678720;mso-height-percent:200;mso-height-percent:200;mso-width-relative:margin;mso-height-relative:margin">
            <v:textbox style="mso-fit-shape-to-text:t">
              <w:txbxContent>
                <w:p w:rsidR="009D7EFC" w:rsidRDefault="009D7EF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El narrador omnisciente que muestra ambas una perspectiva fuerte y una objetiva</w:t>
                  </w:r>
                </w:p>
              </w:txbxContent>
            </v:textbox>
          </v:shape>
        </w:pict>
      </w:r>
      <w:r w:rsidR="005D4362" w:rsidRPr="009D7EFC">
        <w:rPr>
          <w:noProof/>
          <w:lang w:val="es-CO"/>
        </w:rPr>
        <w:pict>
          <v:shape id="_x0000_s1037" type="#_x0000_t202" style="position:absolute;margin-left:28.45pt;margin-top:288.85pt;width:83.95pt;height:103.1pt;z-index:251680768;mso-width-relative:margin;mso-height-relative:margin">
            <v:textbox>
              <w:txbxContent>
                <w:p w:rsidR="009D7EFC" w:rsidRDefault="009D7EF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Los de mayor relevancia son: Juan Preciado, Pedro Paramo, Dorotea y Susana.</w:t>
                  </w:r>
                </w:p>
              </w:txbxContent>
            </v:textbox>
          </v:shape>
        </w:pict>
      </w:r>
      <w:r w:rsidR="005D4362" w:rsidRPr="000A786D">
        <w:rPr>
          <w:noProof/>
          <w:lang w:val="es-CO"/>
        </w:rPr>
        <w:pict>
          <v:shape id="_x0000_s1034" type="#_x0000_t202" style="position:absolute;margin-left:-62.35pt;margin-top:170.7pt;width:134.75pt;height:96.75pt;z-index:251674624;mso-width-relative:margin;mso-height-relative:margin">
            <v:textbox>
              <w:txbxContent>
                <w:p w:rsidR="000A786D" w:rsidRDefault="000A786D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El objetivo de Rulfo se estructura como un sistema </w:t>
                  </w:r>
                  <w:r w:rsidR="009D7EFC">
                    <w:rPr>
                      <w:lang w:val="es-ES"/>
                    </w:rPr>
                    <w:t>“</w:t>
                  </w:r>
                  <w:r>
                    <w:rPr>
                      <w:lang w:val="es-ES"/>
                    </w:rPr>
                    <w:t>estilístico-semiológico</w:t>
                  </w:r>
                  <w:r w:rsidR="009D7EFC">
                    <w:rPr>
                      <w:lang w:val="es-ES"/>
                    </w:rPr>
                    <w:t>”</w:t>
                  </w:r>
                  <w:r>
                    <w:rPr>
                      <w:lang w:val="es-ES"/>
                    </w:rPr>
                    <w:t>, la unión entre el texto estructural y los significados.</w:t>
                  </w:r>
                </w:p>
              </w:txbxContent>
            </v:textbox>
          </v:shape>
        </w:pict>
      </w:r>
      <w:r w:rsidR="005D4362" w:rsidRPr="009D7EFC">
        <w:rPr>
          <w:noProof/>
          <w:lang w:val="es-CO"/>
        </w:rPr>
        <w:pict>
          <v:shape id="_x0000_s1038" type="#_x0000_t202" style="position:absolute;margin-left:-58.7pt;margin-top:412.2pt;width:222.1pt;height:79.7pt;z-index:251682816;mso-height-percent:200;mso-height-percent:200;mso-width-relative:margin;mso-height-relative:margin">
            <v:textbox style="mso-fit-shape-to-text:t">
              <w:txbxContent>
                <w:p w:rsidR="009D7EFC" w:rsidRDefault="009D7EF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Hay una relación metonímico</w:t>
                  </w:r>
                  <w:r w:rsidR="005D4362">
                    <w:rPr>
                      <w:lang w:val="es-ES"/>
                    </w:rPr>
                    <w:t>-</w:t>
                  </w:r>
                  <w:proofErr w:type="spellStart"/>
                  <w:r w:rsidR="005D4362">
                    <w:rPr>
                      <w:lang w:val="es-ES"/>
                    </w:rPr>
                    <w:t>sinecdóquica</w:t>
                  </w:r>
                  <w:proofErr w:type="spellEnd"/>
                  <w:r w:rsidR="005D4362">
                    <w:rPr>
                      <w:lang w:val="es-ES"/>
                    </w:rPr>
                    <w:t xml:space="preserve">  entre los micro relatos y este se desarrolla en el fluir fragmentado de los recuerdos de los personajes.</w:t>
                  </w:r>
                </w:p>
              </w:txbxContent>
            </v:textbox>
          </v:shape>
        </w:pict>
      </w:r>
      <w:r w:rsidR="000A786D" w:rsidRPr="00130E74">
        <w:rPr>
          <w:noProof/>
          <w:lang w:val="es-CO"/>
        </w:rPr>
        <w:pict>
          <v:shape id="_x0000_s1033" type="#_x0000_t202" style="position:absolute;margin-left:83.45pt;margin-top:108.45pt;width:146.5pt;height:66.35pt;z-index:251672576;mso-width-relative:margin;mso-height-relative:margin">
            <v:textbox>
              <w:txbxContent>
                <w:p w:rsidR="00130E74" w:rsidRDefault="000A786D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La novela organiza su mensaje mediante una serie de narradores que están en un distinto nivel.</w:t>
                  </w:r>
                </w:p>
              </w:txbxContent>
            </v:textbox>
          </v:shape>
        </w:pict>
      </w:r>
      <w:r w:rsidR="000A786D" w:rsidRPr="00130E74">
        <w:rPr>
          <w:noProof/>
          <w:lang w:val="es-CO"/>
        </w:rPr>
        <w:pict>
          <v:shape id="_x0000_s1031" type="#_x0000_t202" style="position:absolute;margin-left:-62.35pt;margin-top:108.45pt;width:129.5pt;height:38.95pt;z-index:251668480;mso-width-relative:margin;mso-height-relative:margin">
            <v:textbox>
              <w:txbxContent>
                <w:p w:rsidR="00130E74" w:rsidRDefault="00130E74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La novela se compone de 63 </w:t>
                  </w:r>
                  <w:r w:rsidR="000A786D">
                    <w:rPr>
                      <w:lang w:val="es-ES"/>
                    </w:rPr>
                    <w:t>micro</w:t>
                  </w:r>
                  <w:r>
                    <w:rPr>
                      <w:lang w:val="es-ES"/>
                    </w:rPr>
                    <w:t>narraciones</w:t>
                  </w:r>
                </w:p>
              </w:txbxContent>
            </v:textbox>
          </v:shape>
        </w:pict>
      </w:r>
      <w:r w:rsidR="000A786D">
        <w:rPr>
          <w:noProof/>
          <w:lang w:val="es-CO"/>
        </w:rPr>
        <w:pict>
          <v:shape id="_x0000_s1028" type="#_x0000_t202" style="position:absolute;margin-left:517.15pt;margin-top:61.95pt;width:129pt;height:21.1pt;z-index:251664384;mso-width-relative:margin;mso-height-relative:margin">
            <v:textbox>
              <w:txbxContent>
                <w:p w:rsidR="00DF258C" w:rsidRDefault="00DF258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Aspecto Socioeconómico</w:t>
                  </w:r>
                </w:p>
              </w:txbxContent>
            </v:textbox>
          </v:shape>
        </w:pict>
      </w:r>
      <w:r w:rsidR="000A786D">
        <w:rPr>
          <w:noProof/>
          <w:lang w:val="es-CO"/>
        </w:rPr>
        <w:pict>
          <v:shape id="_x0000_s1029" type="#_x0000_t202" style="position:absolute;margin-left:1.55pt;margin-top:61.95pt;width:121.35pt;height:20.65pt;z-index:251666432;mso-width-relative:margin;mso-height-relative:margin">
            <v:textbox>
              <w:txbxContent>
                <w:p w:rsidR="00DF258C" w:rsidRDefault="002E57EB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Organización Narrativa </w:t>
                  </w:r>
                </w:p>
              </w:txbxContent>
            </v:textbox>
          </v:shape>
        </w:pict>
      </w:r>
      <w:r w:rsidR="000A786D">
        <w:rPr>
          <w:noProof/>
          <w:lang w:val="es-CO"/>
        </w:rPr>
        <w:pict>
          <v:shape id="_x0000_s1027" type="#_x0000_t202" style="position:absolute;margin-left:229.95pt;margin-top:61.95pt;width:151.5pt;height:24.7pt;z-index:251662336;mso-width-relative:margin;mso-height-relative:margin">
            <v:textbox>
              <w:txbxContent>
                <w:p w:rsidR="000D6FFA" w:rsidRDefault="00DF258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Contrapunto en lo Personajes</w:t>
                  </w:r>
                </w:p>
              </w:txbxContent>
            </v:textbox>
          </v:shape>
        </w:pict>
      </w:r>
      <w:r w:rsidR="000A786D" w:rsidRPr="00130E74">
        <w:rPr>
          <w:noProof/>
          <w:lang w:val="es-CO"/>
        </w:rPr>
        <w:pict>
          <v:shape id="_x0000_s1032" type="#_x0000_t202" style="position:absolute;margin-left:176pt;margin-top:-7.05pt;width:254.9pt;height:52.5pt;z-index:251670528;mso-width-relative:margin;mso-height-relative:margin">
            <v:textbox>
              <w:txbxContent>
                <w:p w:rsidR="00130E74" w:rsidRDefault="00130E74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La novela toma lugar en </w:t>
                  </w:r>
                  <w:proofErr w:type="spellStart"/>
                  <w:r>
                    <w:rPr>
                      <w:lang w:val="es-ES"/>
                    </w:rPr>
                    <w:t>Comala</w:t>
                  </w:r>
                  <w:proofErr w:type="spellEnd"/>
                  <w:r>
                    <w:rPr>
                      <w:lang w:val="es-ES"/>
                    </w:rPr>
                    <w:t xml:space="preserve"> un lugar al que Juan Rulfo da una doble perspectiva, la paradisiaca y la infernal.</w:t>
                  </w:r>
                </w:p>
              </w:txbxContent>
            </v:textbox>
          </v:shape>
        </w:pict>
      </w:r>
      <w:r w:rsidR="000A786D">
        <w:rPr>
          <w:noProof/>
          <w:lang w:val="es-CO" w:eastAsia="es-CO"/>
        </w:rPr>
        <w:pict>
          <v:shape id="_x0000_s1026" type="#_x0000_t202" style="position:absolute;margin-left:229.95pt;margin-top:-65.55pt;width:154.4pt;height:42.05pt;z-index:251660288;mso-width-relative:margin;mso-height-relative:margin">
            <v:textbox>
              <w:txbxContent>
                <w:p w:rsidR="000D6FFA" w:rsidRDefault="000D6FFA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El Contrapunto, Elemento estructural en “Pedro Paramo”</w:t>
                  </w:r>
                </w:p>
              </w:txbxContent>
            </v:textbox>
          </v:shape>
        </w:pict>
      </w:r>
    </w:p>
    <w:sectPr w:rsidR="00BC0296" w:rsidRPr="000D6FFA" w:rsidSect="000D6FFA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71" w:rsidRDefault="00F90571" w:rsidP="000D6FFA">
      <w:pPr>
        <w:spacing w:after="0" w:line="240" w:lineRule="auto"/>
      </w:pPr>
      <w:r>
        <w:separator/>
      </w:r>
    </w:p>
  </w:endnote>
  <w:endnote w:type="continuationSeparator" w:id="0">
    <w:p w:rsidR="00F90571" w:rsidRDefault="00F90571" w:rsidP="000D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71" w:rsidRDefault="00F90571" w:rsidP="000D6FFA">
      <w:pPr>
        <w:spacing w:after="0" w:line="240" w:lineRule="auto"/>
      </w:pPr>
      <w:r>
        <w:separator/>
      </w:r>
    </w:p>
  </w:footnote>
  <w:footnote w:type="continuationSeparator" w:id="0">
    <w:p w:rsidR="00F90571" w:rsidRDefault="00F90571" w:rsidP="000D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6F" w:rsidRPr="00403E6F" w:rsidRDefault="00403E6F">
    <w:pPr>
      <w:pStyle w:val="Encabezado"/>
      <w:rPr>
        <w:lang w:val="es-CO"/>
      </w:rPr>
    </w:pPr>
    <w:r>
      <w:rPr>
        <w:lang w:val="es-CO"/>
      </w:rPr>
      <w:t>Daniel Meneses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FFA"/>
    <w:rsid w:val="000A786D"/>
    <w:rsid w:val="000D6FFA"/>
    <w:rsid w:val="00130E74"/>
    <w:rsid w:val="00280E8F"/>
    <w:rsid w:val="002E57EB"/>
    <w:rsid w:val="00403E6F"/>
    <w:rsid w:val="005D4362"/>
    <w:rsid w:val="00694ABC"/>
    <w:rsid w:val="009A3DCB"/>
    <w:rsid w:val="009D7EFC"/>
    <w:rsid w:val="00BC0296"/>
    <w:rsid w:val="00BF47E2"/>
    <w:rsid w:val="00CC1E3E"/>
    <w:rsid w:val="00D54F69"/>
    <w:rsid w:val="00DF258C"/>
    <w:rsid w:val="00E74D91"/>
    <w:rsid w:val="00F90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9"/>
        <o:r id="V:Rule4" type="connector" idref="#_x0000_s1040"/>
        <o:r id="V:Rule6" type="connector" idref="#_x0000_s1041"/>
        <o:r id="V:Rule8" type="connector" idref="#_x0000_s1042"/>
        <o:r id="V:Rule10" type="connector" idref="#_x0000_s1043"/>
        <o:r id="V:Rule12" type="connector" idref="#_x0000_s1044"/>
        <o:r id="V:Rule16" type="connector" idref="#_x0000_s1046"/>
        <o:r id="V:Rule18" type="connector" idref="#_x0000_s1047"/>
        <o:r id="V:Rule20" type="connector" idref="#_x0000_s1048"/>
        <o:r id="V:Rule22" type="connector" idref="#_x0000_s1049"/>
        <o:r id="V:Rule24" type="connector" idref="#_x0000_s1050"/>
        <o:r id="V:Rule26" type="connector" idref="#_x0000_s1051"/>
        <o:r id="V:Rule28" type="connector" idref="#_x0000_s1056"/>
        <o:r id="V:Rule30" type="connector" idref="#_x0000_s1057"/>
        <o:r id="V:Rule32" type="connector" idref="#_x0000_s1058"/>
        <o:r id="V:Rule34" type="connector" idref="#_x0000_s1059"/>
        <o:r id="V:Rule36" type="connector" idref="#_x0000_s1064"/>
        <o:r id="V:Rule38" type="connector" idref="#_x0000_s1065"/>
        <o:r id="V:Rule40" type="connector" idref="#_x0000_s1066"/>
        <o:r id="V:Rule42" type="connector" idref="#_x0000_s1067"/>
        <o:r id="V:Rule44" type="connector" idref="#_x0000_s1068"/>
        <o:r id="V:Rule46" type="connector" idref="#_x0000_s106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296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D6F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D6FFA"/>
    <w:rPr>
      <w:lang w:val="en-GB"/>
    </w:rPr>
  </w:style>
  <w:style w:type="paragraph" w:styleId="Piedepgina">
    <w:name w:val="footer"/>
    <w:basedOn w:val="Normal"/>
    <w:link w:val="PiedepginaCar"/>
    <w:uiPriority w:val="99"/>
    <w:semiHidden/>
    <w:unhideWhenUsed/>
    <w:rsid w:val="000D6F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D6FFA"/>
    <w:rPr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FF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dcterms:created xsi:type="dcterms:W3CDTF">2013-04-10T02:53:00Z</dcterms:created>
  <dcterms:modified xsi:type="dcterms:W3CDTF">2013-04-11T01:27:00Z</dcterms:modified>
</cp:coreProperties>
</file>